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-2647928</wp:posOffset>
            </wp:positionH>
            <wp:positionV relativeFrom="paragraph">
              <wp:posOffset>-914376</wp:posOffset>
            </wp:positionV>
            <wp:extent cx="5732145" cy="4373880"/>
            <wp:effectExtent b="0" l="0" r="0" t="0"/>
            <wp:wrapNone/>
            <wp:docPr id="1597007107"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-389866</wp:posOffset>
            </wp:positionH>
            <wp:positionV relativeFrom="paragraph">
              <wp:posOffset>-514324</wp:posOffset>
            </wp:positionV>
            <wp:extent cx="3048000" cy="834853"/>
            <wp:effectExtent b="0" l="0" r="0" t="0"/>
            <wp:wrapNone/>
            <wp:docPr id="1597007108"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99940" cy="8420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57750" cy="11163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0"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8: Workshop: co-design and evaluate learning scenarios for lower secondary informatics teaching and assessment, based on the THINKER framework</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spacing w:after="160" w:line="259" w:lineRule="auto"/>
              <w:rPr>
                <w:i w:val="1"/>
              </w:rPr>
            </w:pPr>
            <w:r w:rsidDel="00000000" w:rsidR="00000000" w:rsidRPr="00000000">
              <w:rPr>
                <w:i w:val="1"/>
                <w:rtl w:val="0"/>
              </w:rPr>
              <w:t xml:space="preserve">8.4: Self-assessment and peer review</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270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0,172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77"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p w:rsidR="00000000" w:rsidDel="00000000" w:rsidP="00000000" w:rsidRDefault="00000000" w:rsidRPr="00000000" w14:paraId="00000021">
            <w:pPr>
              <w:jc w:val="both"/>
              <w:rPr/>
            </w:pPr>
            <w:r w:rsidDel="00000000" w:rsidR="00000000" w:rsidRPr="00000000">
              <w:rPr>
                <w:rtl w:val="0"/>
              </w:rPr>
              <w:t xml:space="preserve">Engage in peer review sessions to exchange ideas, provide constructive feedback, and refine teaching modules based on corresponding feedback.</w:t>
            </w:r>
          </w:p>
        </w:tc>
      </w:tr>
      <w:tr>
        <w:trPr>
          <w:cantSplit w:val="0"/>
          <w:trHeight w:val="47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jc w:val="both"/>
              <w:rPr/>
            </w:pPr>
            <w:r w:rsidDel="00000000" w:rsidR="00000000" w:rsidRPr="00000000">
              <w:rPr>
                <w:rtl w:val="0"/>
              </w:rPr>
              <w:t xml:space="preserve">Reflect critically on their own teaching practices and the modules developed, identifying areas of strength and opportunities for improvement.</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5">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A">
            <w:pPr>
              <w:jc w:val="center"/>
              <w:rPr/>
            </w:pPr>
            <w:r w:rsidDel="00000000" w:rsidR="00000000" w:rsidRPr="00000000">
              <w:rPr>
                <w:rtl w:val="0"/>
              </w:rPr>
              <w:t xml:space="preserve">√</w:t>
            </w:r>
          </w:p>
        </w:tc>
        <w:tc>
          <w:tcPr/>
          <w:p w:rsidR="00000000" w:rsidDel="00000000" w:rsidP="00000000" w:rsidRDefault="00000000" w:rsidRPr="00000000" w14:paraId="0000002B">
            <w:pPr>
              <w:rPr/>
            </w:pPr>
            <w:r w:rsidDel="00000000" w:rsidR="00000000" w:rsidRPr="00000000">
              <w:rPr>
                <w:rtl w:val="0"/>
              </w:rPr>
              <w:t xml:space="preserve">Learning by doing</w:t>
            </w:r>
          </w:p>
        </w:tc>
        <w:tc>
          <w:tcPr>
            <w:vAlign w:val="center"/>
          </w:tcPr>
          <w:p w:rsidR="00000000" w:rsidDel="00000000" w:rsidP="00000000" w:rsidRDefault="00000000" w:rsidRPr="00000000" w14:paraId="0000002C">
            <w:pPr>
              <w:jc w:val="cente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4">
            <w:pPr>
              <w:jc w:val="center"/>
              <w:rPr/>
            </w:pPr>
            <w:r w:rsidDel="00000000" w:rsidR="00000000" w:rsidRPr="00000000">
              <w:rPr>
                <w:rtl w:val="0"/>
              </w:rPr>
            </w:r>
          </w:p>
        </w:tc>
        <w:tc>
          <w:tcPr/>
          <w:p w:rsidR="00000000" w:rsidDel="00000000" w:rsidP="00000000" w:rsidRDefault="00000000" w:rsidRPr="00000000" w14:paraId="00000035">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Blended learning</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D">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E">
            <w:pPr>
              <w:numPr>
                <w:ilvl w:val="0"/>
                <w:numId w:val="2"/>
              </w:numPr>
              <w:ind w:left="720" w:hanging="360"/>
              <w:rPr/>
            </w:pPr>
            <w:r w:rsidDel="00000000" w:rsidR="00000000" w:rsidRPr="00000000">
              <w:rPr>
                <w:rtl w:val="0"/>
              </w:rPr>
              <w:t xml:space="preserve">THINKER Framework available at: </w:t>
            </w:r>
            <w:hyperlink r:id="rId11">
              <w:r w:rsidDel="00000000" w:rsidR="00000000" w:rsidRPr="00000000">
                <w:rPr>
                  <w:color w:val="1155cc"/>
                  <w:u w:val="single"/>
                  <w:rtl w:val="0"/>
                </w:rPr>
                <w:t xml:space="preserve">https://thinker.ucd.ie/resources/framework-and-toolkit/</w:t>
              </w:r>
            </w:hyperlink>
            <w:r w:rsidDel="00000000" w:rsidR="00000000" w:rsidRPr="00000000">
              <w:rPr>
                <w:rtl w:val="0"/>
              </w:rPr>
              <w:t xml:space="preserve"> </w:t>
            </w:r>
          </w:p>
          <w:p w:rsidR="00000000" w:rsidDel="00000000" w:rsidP="00000000" w:rsidRDefault="00000000" w:rsidRPr="00000000" w14:paraId="0000003F">
            <w:pPr>
              <w:numPr>
                <w:ilvl w:val="0"/>
                <w:numId w:val="2"/>
              </w:numPr>
              <w:ind w:left="720" w:hanging="360"/>
              <w:rPr/>
            </w:pPr>
            <w:r w:rsidDel="00000000" w:rsidR="00000000" w:rsidRPr="00000000">
              <w:rPr>
                <w:rtl w:val="0"/>
              </w:rPr>
              <w:t xml:space="preserve">Template “THINKER_WP3_Peer Review Protocol for Learning Scenarios” (</w:t>
            </w:r>
            <w:hyperlink r:id="rId12">
              <w:r w:rsidDel="00000000" w:rsidR="00000000" w:rsidRPr="00000000">
                <w:rPr>
                  <w:color w:val="1155cc"/>
                  <w:u w:val="single"/>
                  <w:rtl w:val="0"/>
                </w:rPr>
                <w:t xml:space="preserve">LINK</w:t>
              </w:r>
            </w:hyperlink>
            <w:r w:rsidDel="00000000" w:rsidR="00000000" w:rsidRPr="00000000">
              <w:rPr>
                <w:rtl w:val="0"/>
              </w:rPr>
              <w:t xml:space="preserve">)</w:t>
            </w:r>
          </w:p>
        </w:tc>
      </w:tr>
      <w:tr>
        <w:trPr>
          <w:cantSplit w:val="0"/>
          <w:trHeight w:val="417" w:hRule="atLeast"/>
          <w:tblHeader w:val="0"/>
        </w:trPr>
        <w:tc>
          <w:tcPr/>
          <w:p w:rsidR="00000000" w:rsidDel="00000000" w:rsidP="00000000" w:rsidRDefault="00000000" w:rsidRPr="00000000" w14:paraId="00000040">
            <w:pPr>
              <w:rPr/>
            </w:pPr>
            <w:r w:rsidDel="00000000" w:rsidR="00000000" w:rsidRPr="00000000">
              <w:rPr>
                <w:rtl w:val="0"/>
              </w:rPr>
              <w:t xml:space="preserve">Additional resources</w:t>
            </w:r>
          </w:p>
        </w:tc>
        <w:tc>
          <w:tcPr/>
          <w:p w:rsidR="00000000" w:rsidDel="00000000" w:rsidP="00000000" w:rsidRDefault="00000000" w:rsidRPr="00000000" w14:paraId="00000041">
            <w:pPr>
              <w:rPr/>
            </w:pPr>
            <w:r w:rsidDel="00000000" w:rsidR="00000000" w:rsidRPr="00000000">
              <w:rPr>
                <w:rtl w:val="0"/>
              </w:rPr>
              <w:t xml:space="preserve">/</w:t>
            </w:r>
          </w:p>
        </w:tc>
      </w:tr>
    </w:tbl>
    <w:p w:rsidR="00000000" w:rsidDel="00000000" w:rsidP="00000000" w:rsidRDefault="00000000" w:rsidRPr="00000000" w14:paraId="00000042">
      <w:pPr>
        <w:tabs>
          <w:tab w:val="left" w:leader="none" w:pos="1620"/>
        </w:tabs>
        <w:spacing w:after="0" w:lineRule="auto"/>
        <w:rPr/>
      </w:pPr>
      <w:r w:rsidDel="00000000" w:rsidR="00000000" w:rsidRPr="00000000">
        <w:rPr>
          <w:rtl w:val="0"/>
        </w:rPr>
      </w:r>
    </w:p>
    <w:p w:rsidR="00000000" w:rsidDel="00000000" w:rsidP="00000000" w:rsidRDefault="00000000" w:rsidRPr="00000000" w14:paraId="00000043">
      <w:pPr>
        <w:tabs>
          <w:tab w:val="left" w:leader="none" w:pos="1620"/>
        </w:tabs>
        <w:rPr/>
      </w:pPr>
      <w:r w:rsidDel="00000000" w:rsidR="00000000" w:rsidRPr="00000000">
        <w:rPr>
          <w:rtl w:val="0"/>
        </w:rPr>
      </w:r>
    </w:p>
    <w:p w:rsidR="00000000" w:rsidDel="00000000" w:rsidP="00000000" w:rsidRDefault="00000000" w:rsidRPr="00000000" w14:paraId="00000044">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5">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7">
            <w:pPr>
              <w:rPr/>
            </w:pPr>
            <w:r w:rsidDel="00000000" w:rsidR="00000000" w:rsidRPr="00000000">
              <w:rPr>
                <w:rtl w:val="0"/>
              </w:rPr>
              <w:t xml:space="preserve">Introduction</w:t>
            </w:r>
          </w:p>
        </w:tc>
        <w:tc>
          <w:tcPr/>
          <w:p w:rsidR="00000000" w:rsidDel="00000000" w:rsidP="00000000" w:rsidRDefault="00000000" w:rsidRPr="00000000" w14:paraId="00000048">
            <w:pPr>
              <w:spacing w:after="200" w:lineRule="auto"/>
              <w:jc w:val="both"/>
              <w:rPr/>
            </w:pPr>
            <w:r w:rsidDel="00000000" w:rsidR="00000000" w:rsidRPr="00000000">
              <w:rPr>
                <w:rtl w:val="0"/>
              </w:rPr>
              <w:t xml:space="preserve">A short overview of the topic and context of the lesson. Explain why the topic is important and how it relates to prior knowledge.</w:t>
            </w:r>
          </w:p>
        </w:tc>
      </w:tr>
      <w:tr>
        <w:trPr>
          <w:cantSplit w:val="0"/>
          <w:trHeight w:val="417" w:hRule="atLeast"/>
          <w:tblHeader w:val="0"/>
        </w:trPr>
        <w:tc>
          <w:tcPr>
            <w:vMerge w:val="restart"/>
          </w:tcPr>
          <w:p w:rsidR="00000000" w:rsidDel="00000000" w:rsidP="00000000" w:rsidRDefault="00000000" w:rsidRPr="00000000" w14:paraId="00000049">
            <w:pPr>
              <w:rPr/>
            </w:pPr>
            <w:r w:rsidDel="00000000" w:rsidR="00000000" w:rsidRPr="00000000">
              <w:rPr>
                <w:rtl w:val="0"/>
              </w:rPr>
              <w:t xml:space="preserve">Activities</w:t>
            </w:r>
          </w:p>
          <w:p w:rsidR="00000000" w:rsidDel="00000000" w:rsidP="00000000" w:rsidRDefault="00000000" w:rsidRPr="00000000" w14:paraId="0000004A">
            <w:pPr>
              <w:rPr/>
            </w:pPr>
            <w:r w:rsidDel="00000000" w:rsidR="00000000" w:rsidRPr="00000000">
              <w:rPr>
                <w:rtl w:val="0"/>
              </w:rPr>
            </w:r>
          </w:p>
        </w:tc>
        <w:tc>
          <w:tcPr/>
          <w:p w:rsidR="00000000" w:rsidDel="00000000" w:rsidP="00000000" w:rsidRDefault="00000000" w:rsidRPr="00000000" w14:paraId="0000004B">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Activity 1: Introduction to the Self-Assessment (20 min)</w:t>
            </w:r>
          </w:p>
          <w:p w:rsidR="00000000" w:rsidDel="00000000" w:rsidP="00000000" w:rsidRDefault="00000000" w:rsidRPr="00000000" w14:paraId="0000004C">
            <w:pPr>
              <w:rPr/>
            </w:pPr>
            <w:r w:rsidDel="00000000" w:rsidR="00000000" w:rsidRPr="00000000">
              <w:rPr>
                <w:rtl w:val="0"/>
              </w:rPr>
              <w:t xml:space="preserve">Slides 5-7</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spacing w:after="200" w:lineRule="auto"/>
              <w:jc w:val="both"/>
              <w:rPr/>
            </w:pPr>
            <w:r w:rsidDel="00000000" w:rsidR="00000000" w:rsidRPr="00000000">
              <w:rPr>
                <w:rtl w:val="0"/>
              </w:rPr>
              <w:t xml:space="preserve">At the beginning, the trainer introduces the definition of the self-assessment to the team, in order to help them understand the term better. </w:t>
              <w:br w:type="textWrapping"/>
              <w:t xml:space="preserve">The trainer explains to the learners why to use self-assessment, and the skills developed through self-assessment.</w:t>
            </w:r>
          </w:p>
          <w:p w:rsidR="00000000" w:rsidDel="00000000" w:rsidP="00000000" w:rsidRDefault="00000000" w:rsidRPr="00000000" w14:paraId="0000004F">
            <w:pPr>
              <w:spacing w:after="200" w:lineRule="auto"/>
              <w:jc w:val="both"/>
              <w:rPr/>
            </w:pPr>
            <w:r w:rsidDel="00000000" w:rsidR="00000000" w:rsidRPr="00000000">
              <w:rPr>
                <w:b w:val="1"/>
                <w:rtl w:val="0"/>
              </w:rPr>
              <w:t xml:space="preserve">Outcome</w:t>
            </w:r>
            <w:r w:rsidDel="00000000" w:rsidR="00000000" w:rsidRPr="00000000">
              <w:rPr>
                <w:rtl w:val="0"/>
              </w:rPr>
              <w:t xml:space="preserve">: Learners understand what self-assessment is and its importance. </w:t>
            </w:r>
          </w:p>
        </w:tc>
      </w:tr>
      <w:tr>
        <w:trPr>
          <w:cantSplit w:val="0"/>
          <w:trHeight w:val="417" w:hRule="atLeast"/>
          <w:tblHeader w:val="0"/>
        </w:trPr>
        <w:tc>
          <w:tcPr>
            <w:vMerge w:val="continue"/>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1">
            <w:pPr>
              <w:spacing w:before="200" w:lineRule="auto"/>
              <w:rPr/>
            </w:pPr>
            <w:r w:rsidDel="00000000" w:rsidR="00000000" w:rsidRPr="00000000">
              <w:rPr>
                <w:b w:val="1"/>
                <w:sz w:val="26"/>
                <w:szCs w:val="26"/>
                <w:u w:val="single"/>
                <w:rtl w:val="0"/>
              </w:rPr>
              <w:t xml:space="preserve">Activity 2: Self-Reflective Tool (30 min)</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Slide 8</w:t>
            </w:r>
          </w:p>
          <w:p w:rsidR="00000000" w:rsidDel="00000000" w:rsidP="00000000" w:rsidRDefault="00000000" w:rsidRPr="00000000" w14:paraId="00000053">
            <w:pPr>
              <w:widowControl w:val="0"/>
              <w:rPr/>
            </w:pPr>
            <w:r w:rsidDel="00000000" w:rsidR="00000000" w:rsidRPr="00000000">
              <w:rPr>
                <w:rtl w:val="0"/>
              </w:rPr>
            </w:r>
          </w:p>
          <w:p w:rsidR="00000000" w:rsidDel="00000000" w:rsidP="00000000" w:rsidRDefault="00000000" w:rsidRPr="00000000" w14:paraId="00000054">
            <w:pPr>
              <w:widowControl w:val="0"/>
              <w:ind w:left="0" w:firstLine="0"/>
              <w:jc w:val="both"/>
              <w:rPr/>
            </w:pPr>
            <w:r w:rsidDel="00000000" w:rsidR="00000000" w:rsidRPr="00000000">
              <w:rPr>
                <w:rtl w:val="0"/>
              </w:rPr>
              <w:t xml:space="preserve">Form the participants in groups (approx. 4 participants per group).</w:t>
            </w:r>
          </w:p>
          <w:p w:rsidR="00000000" w:rsidDel="00000000" w:rsidP="00000000" w:rsidRDefault="00000000" w:rsidRPr="00000000" w14:paraId="00000055">
            <w:pPr>
              <w:widowControl w:val="0"/>
              <w:ind w:left="0" w:firstLine="0"/>
              <w:jc w:val="both"/>
              <w:rPr/>
            </w:pPr>
            <w:r w:rsidDel="00000000" w:rsidR="00000000" w:rsidRPr="00000000">
              <w:rPr>
                <w:rtl w:val="0"/>
              </w:rPr>
            </w:r>
          </w:p>
          <w:p w:rsidR="00000000" w:rsidDel="00000000" w:rsidP="00000000" w:rsidRDefault="00000000" w:rsidRPr="00000000" w14:paraId="00000056">
            <w:pPr>
              <w:widowControl w:val="0"/>
              <w:ind w:left="0" w:firstLine="0"/>
              <w:jc w:val="both"/>
              <w:rPr/>
            </w:pPr>
            <w:r w:rsidDel="00000000" w:rsidR="00000000" w:rsidRPr="00000000">
              <w:rPr>
                <w:rtl w:val="0"/>
              </w:rPr>
              <w:t xml:space="preserve">Each participant should review the self-reflective tool available in the THINKER Framework and brief each other about the items included.</w:t>
            </w:r>
          </w:p>
          <w:p w:rsidR="00000000" w:rsidDel="00000000" w:rsidP="00000000" w:rsidRDefault="00000000" w:rsidRPr="00000000" w14:paraId="00000057">
            <w:pPr>
              <w:widowControl w:val="0"/>
              <w:ind w:left="0" w:firstLine="0"/>
              <w:jc w:val="both"/>
              <w:rPr/>
            </w:pPr>
            <w:r w:rsidDel="00000000" w:rsidR="00000000" w:rsidRPr="00000000">
              <w:rPr>
                <w:rtl w:val="0"/>
              </w:rPr>
            </w:r>
          </w:p>
          <w:p w:rsidR="00000000" w:rsidDel="00000000" w:rsidP="00000000" w:rsidRDefault="00000000" w:rsidRPr="00000000" w14:paraId="00000058">
            <w:pPr>
              <w:widowControl w:val="0"/>
              <w:ind w:left="0" w:firstLine="0"/>
              <w:jc w:val="both"/>
              <w:rPr/>
            </w:pPr>
            <w:r w:rsidDel="00000000" w:rsidR="00000000" w:rsidRPr="00000000">
              <w:rPr>
                <w:rtl w:val="0"/>
              </w:rPr>
              <w:t xml:space="preserve">Each participant should complete the self-reflective tool by evaluating their teaching practices against the THINKER framework.</w:t>
            </w:r>
          </w:p>
          <w:p w:rsidR="00000000" w:rsidDel="00000000" w:rsidP="00000000" w:rsidRDefault="00000000" w:rsidRPr="00000000" w14:paraId="00000059">
            <w:pPr>
              <w:widowControl w:val="0"/>
              <w:ind w:left="0" w:firstLine="0"/>
              <w:jc w:val="both"/>
              <w:rPr/>
            </w:pPr>
            <w:r w:rsidDel="00000000" w:rsidR="00000000" w:rsidRPr="00000000">
              <w:rPr>
                <w:rtl w:val="0"/>
              </w:rPr>
            </w:r>
          </w:p>
          <w:p w:rsidR="00000000" w:rsidDel="00000000" w:rsidP="00000000" w:rsidRDefault="00000000" w:rsidRPr="00000000" w14:paraId="0000005A">
            <w:pPr>
              <w:widowControl w:val="0"/>
              <w:ind w:left="0" w:firstLine="0"/>
              <w:jc w:val="both"/>
              <w:rPr/>
            </w:pPr>
            <w:r w:rsidDel="00000000" w:rsidR="00000000" w:rsidRPr="00000000">
              <w:rPr>
                <w:rtl w:val="0"/>
              </w:rPr>
              <w:t xml:space="preserve">Based on the completed self-reflection form, the participants discuss in their groups their strengths and weaknesses and try to identify solutions.</w:t>
            </w:r>
          </w:p>
          <w:p w:rsidR="00000000" w:rsidDel="00000000" w:rsidP="00000000" w:rsidRDefault="00000000" w:rsidRPr="00000000" w14:paraId="0000005B">
            <w:pPr>
              <w:spacing w:after="200" w:lineRule="auto"/>
              <w:rPr/>
            </w:pPr>
            <w:r w:rsidDel="00000000" w:rsidR="00000000" w:rsidRPr="00000000">
              <w:rPr>
                <w:rtl w:val="0"/>
              </w:rPr>
            </w:r>
          </w:p>
          <w:p w:rsidR="00000000" w:rsidDel="00000000" w:rsidP="00000000" w:rsidRDefault="00000000" w:rsidRPr="00000000" w14:paraId="0000005C">
            <w:pPr>
              <w:spacing w:after="200" w:lineRule="auto"/>
              <w:jc w:val="both"/>
              <w:rPr/>
            </w:pPr>
            <w:r w:rsidDel="00000000" w:rsidR="00000000" w:rsidRPr="00000000">
              <w:rPr>
                <w:b w:val="1"/>
                <w:rtl w:val="0"/>
              </w:rPr>
              <w:t xml:space="preserve">Outcome:</w:t>
            </w:r>
            <w:r w:rsidDel="00000000" w:rsidR="00000000" w:rsidRPr="00000000">
              <w:rPr>
                <w:rtl w:val="0"/>
              </w:rPr>
              <w:t xml:space="preserve"> Participants evaluate their teaching practices against the THINKER framework and identify their strengths and weaknesses. </w:t>
            </w:r>
          </w:p>
        </w:tc>
      </w:tr>
      <w:tr>
        <w:trPr>
          <w:cantSplit w:val="0"/>
          <w:trHeight w:val="417" w:hRule="atLeast"/>
          <w:tblHeader w:val="0"/>
        </w:trPr>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E">
            <w:pPr>
              <w:spacing w:before="200" w:lineRule="auto"/>
              <w:rPr/>
            </w:pPr>
            <w:r w:rsidDel="00000000" w:rsidR="00000000" w:rsidRPr="00000000">
              <w:rPr>
                <w:b w:val="1"/>
                <w:sz w:val="26"/>
                <w:szCs w:val="26"/>
                <w:u w:val="single"/>
                <w:rtl w:val="0"/>
              </w:rPr>
              <w:t xml:space="preserve">Activity 3: Introduction to the “peer review” evaluation (10 min)</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Slides 9-10</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spacing w:after="200" w:lineRule="auto"/>
              <w:jc w:val="both"/>
              <w:rPr/>
            </w:pPr>
            <w:r w:rsidDel="00000000" w:rsidR="00000000" w:rsidRPr="00000000">
              <w:rPr>
                <w:rtl w:val="0"/>
              </w:rPr>
              <w:t xml:space="preserve">The trainer begins by explaining what is “peer review” evaluation. </w:t>
            </w:r>
          </w:p>
          <w:p w:rsidR="00000000" w:rsidDel="00000000" w:rsidP="00000000" w:rsidRDefault="00000000" w:rsidRPr="00000000" w14:paraId="00000062">
            <w:pPr>
              <w:spacing w:after="200" w:lineRule="auto"/>
              <w:jc w:val="both"/>
              <w:rPr/>
            </w:pPr>
            <w:r w:rsidDel="00000000" w:rsidR="00000000" w:rsidRPr="00000000">
              <w:rPr>
                <w:rtl w:val="0"/>
              </w:rPr>
              <w:t xml:space="preserve">The trainer continues by explaining how the “peer review” can be used as a learning tool. </w:t>
            </w:r>
          </w:p>
          <w:p w:rsidR="00000000" w:rsidDel="00000000" w:rsidP="00000000" w:rsidRDefault="00000000" w:rsidRPr="00000000" w14:paraId="00000063">
            <w:pPr>
              <w:spacing w:after="200" w:lineRule="auto"/>
              <w:jc w:val="both"/>
              <w:rPr/>
            </w:pPr>
            <w:r w:rsidDel="00000000" w:rsidR="00000000" w:rsidRPr="00000000">
              <w:rPr>
                <w:rtl w:val="0"/>
              </w:rPr>
              <w:t xml:space="preserve">Then, the trainer asks the group:</w:t>
            </w:r>
          </w:p>
          <w:p w:rsidR="00000000" w:rsidDel="00000000" w:rsidP="00000000" w:rsidRDefault="00000000" w:rsidRPr="00000000" w14:paraId="00000064">
            <w:pPr>
              <w:numPr>
                <w:ilvl w:val="0"/>
                <w:numId w:val="1"/>
              </w:numPr>
              <w:spacing w:after="0" w:lineRule="auto"/>
              <w:ind w:left="720" w:hanging="360"/>
              <w:jc w:val="both"/>
              <w:rPr>
                <w:u w:val="none"/>
              </w:rPr>
            </w:pPr>
            <w:r w:rsidDel="00000000" w:rsidR="00000000" w:rsidRPr="00000000">
              <w:rPr>
                <w:rtl w:val="0"/>
              </w:rPr>
              <w:t xml:space="preserve">Why might students respond more openly to feedback from a peer rather than from a teacher?</w:t>
            </w:r>
            <w:r w:rsidDel="00000000" w:rsidR="00000000" w:rsidRPr="00000000">
              <w:rPr>
                <w:rtl w:val="0"/>
              </w:rPr>
            </w:r>
          </w:p>
          <w:p w:rsidR="00000000" w:rsidDel="00000000" w:rsidP="00000000" w:rsidRDefault="00000000" w:rsidRPr="00000000" w14:paraId="00000065">
            <w:pPr>
              <w:numPr>
                <w:ilvl w:val="0"/>
                <w:numId w:val="1"/>
              </w:numPr>
              <w:spacing w:after="0" w:lineRule="auto"/>
              <w:ind w:left="720" w:hanging="360"/>
              <w:jc w:val="both"/>
              <w:rPr>
                <w:u w:val="none"/>
              </w:rPr>
            </w:pPr>
            <w:r w:rsidDel="00000000" w:rsidR="00000000" w:rsidRPr="00000000">
              <w:rPr>
                <w:rtl w:val="0"/>
              </w:rPr>
              <w:t xml:space="preserve">What do reviewers gain when they give feedback to their peers?</w:t>
            </w:r>
            <w:r w:rsidDel="00000000" w:rsidR="00000000" w:rsidRPr="00000000">
              <w:rPr>
                <w:rtl w:val="0"/>
              </w:rPr>
            </w:r>
          </w:p>
          <w:p w:rsidR="00000000" w:rsidDel="00000000" w:rsidP="00000000" w:rsidRDefault="00000000" w:rsidRPr="00000000" w14:paraId="00000066">
            <w:pPr>
              <w:numPr>
                <w:ilvl w:val="0"/>
                <w:numId w:val="1"/>
              </w:numPr>
              <w:spacing w:after="0" w:lineRule="auto"/>
              <w:ind w:left="720" w:hanging="360"/>
              <w:jc w:val="both"/>
              <w:rPr>
                <w:u w:val="none"/>
              </w:rPr>
            </w:pPr>
            <w:r w:rsidDel="00000000" w:rsidR="00000000" w:rsidRPr="00000000">
              <w:rPr>
                <w:rtl w:val="0"/>
              </w:rPr>
              <w:t xml:space="preserve">Can you think of a time when reviewing someone else's work made you reflect on your own?</w:t>
            </w:r>
            <w:r w:rsidDel="00000000" w:rsidR="00000000" w:rsidRPr="00000000">
              <w:rPr>
                <w:rtl w:val="0"/>
              </w:rPr>
            </w:r>
          </w:p>
          <w:p w:rsidR="00000000" w:rsidDel="00000000" w:rsidP="00000000" w:rsidRDefault="00000000" w:rsidRPr="00000000" w14:paraId="00000067">
            <w:pPr>
              <w:numPr>
                <w:ilvl w:val="0"/>
                <w:numId w:val="1"/>
              </w:numPr>
              <w:spacing w:after="0" w:lineRule="auto"/>
              <w:ind w:left="720" w:hanging="360"/>
              <w:jc w:val="both"/>
              <w:rPr>
                <w:u w:val="none"/>
              </w:rPr>
            </w:pPr>
            <w:r w:rsidDel="00000000" w:rsidR="00000000" w:rsidRPr="00000000">
              <w:rPr>
                <w:rtl w:val="0"/>
              </w:rPr>
              <w:t xml:space="preserve">Have you noticed “peer review” leading to more collaboration or conversation?</w:t>
            </w:r>
            <w:r w:rsidDel="00000000" w:rsidR="00000000" w:rsidRPr="00000000">
              <w:rPr>
                <w:rtl w:val="0"/>
              </w:rPr>
            </w:r>
          </w:p>
          <w:p w:rsidR="00000000" w:rsidDel="00000000" w:rsidP="00000000" w:rsidRDefault="00000000" w:rsidRPr="00000000" w14:paraId="00000068">
            <w:pPr>
              <w:numPr>
                <w:ilvl w:val="0"/>
                <w:numId w:val="1"/>
              </w:numPr>
              <w:spacing w:after="0" w:lineRule="auto"/>
              <w:ind w:left="720" w:hanging="360"/>
              <w:jc w:val="both"/>
              <w:rPr>
                <w:u w:val="none"/>
              </w:rPr>
            </w:pPr>
            <w:r w:rsidDel="00000000" w:rsidR="00000000" w:rsidRPr="00000000">
              <w:rPr>
                <w:rtl w:val="0"/>
              </w:rPr>
              <w:t xml:space="preserve">How can “peer review” promote engagement, critical thinking, and collaboration?</w:t>
            </w:r>
            <w:r w:rsidDel="00000000" w:rsidR="00000000" w:rsidRPr="00000000">
              <w:rPr>
                <w:rtl w:val="0"/>
              </w:rPr>
            </w:r>
          </w:p>
          <w:p w:rsidR="00000000" w:rsidDel="00000000" w:rsidP="00000000" w:rsidRDefault="00000000" w:rsidRPr="00000000" w14:paraId="00000069">
            <w:pPr>
              <w:numPr>
                <w:ilvl w:val="0"/>
                <w:numId w:val="1"/>
              </w:numPr>
              <w:spacing w:after="200" w:lineRule="auto"/>
              <w:ind w:left="720" w:hanging="360"/>
              <w:jc w:val="both"/>
              <w:rPr>
                <w:u w:val="none"/>
              </w:rPr>
            </w:pPr>
            <w:r w:rsidDel="00000000" w:rsidR="00000000" w:rsidRPr="00000000">
              <w:rPr>
                <w:rtl w:val="0"/>
              </w:rPr>
              <w:t xml:space="preserve">What happens to your role as a teacher when students begin giving each other meaningful feedback? (Highlight the shift toward being a coach or facilitator.)</w:t>
            </w:r>
            <w:r w:rsidDel="00000000" w:rsidR="00000000" w:rsidRPr="00000000">
              <w:rPr>
                <w:rtl w:val="0"/>
              </w:rPr>
            </w:r>
          </w:p>
          <w:p w:rsidR="00000000" w:rsidDel="00000000" w:rsidP="00000000" w:rsidRDefault="00000000" w:rsidRPr="00000000" w14:paraId="0000006A">
            <w:pPr>
              <w:spacing w:after="200" w:lineRule="auto"/>
              <w:jc w:val="both"/>
              <w:rPr/>
            </w:pPr>
            <w:r w:rsidDel="00000000" w:rsidR="00000000" w:rsidRPr="00000000">
              <w:rPr>
                <w:rtl w:val="0"/>
              </w:rPr>
              <w:t xml:space="preserve">At the end of the discussion, he/she collects a couple of answers and encourages discussion.</w:t>
            </w:r>
          </w:p>
          <w:p w:rsidR="00000000" w:rsidDel="00000000" w:rsidP="00000000" w:rsidRDefault="00000000" w:rsidRPr="00000000" w14:paraId="0000006B">
            <w:pPr>
              <w:spacing w:after="200" w:lineRule="auto"/>
              <w:jc w:val="both"/>
              <w:rPr/>
            </w:pPr>
            <w:r w:rsidDel="00000000" w:rsidR="00000000" w:rsidRPr="00000000">
              <w:rPr>
                <w:b w:val="1"/>
                <w:rtl w:val="0"/>
              </w:rPr>
              <w:t xml:space="preserve">Outcome</w:t>
            </w:r>
            <w:r w:rsidDel="00000000" w:rsidR="00000000" w:rsidRPr="00000000">
              <w:rPr>
                <w:rtl w:val="0"/>
              </w:rPr>
              <w:t xml:space="preserve">: Learners understand what “peer review” evaluation is and its importance. </w:t>
            </w:r>
          </w:p>
        </w:tc>
      </w:tr>
      <w:tr>
        <w:trPr>
          <w:cantSplit w:val="0"/>
          <w:trHeight w:val="417" w:hRule="atLeast"/>
          <w:tblHeader w:val="0"/>
        </w:trPr>
        <w:tc>
          <w:tcPr>
            <w:vMerge w:val="continue"/>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D">
            <w:pPr>
              <w:spacing w:before="200" w:lineRule="auto"/>
              <w:rPr/>
            </w:pPr>
            <w:r w:rsidDel="00000000" w:rsidR="00000000" w:rsidRPr="00000000">
              <w:rPr>
                <w:b w:val="1"/>
                <w:sz w:val="26"/>
                <w:szCs w:val="26"/>
                <w:u w:val="single"/>
                <w:rtl w:val="0"/>
              </w:rPr>
              <w:t xml:space="preserve">Activity 4: Peer Review Evaluation of Learning Scenarios (30 min)</w: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Slide 11</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jc w:val="both"/>
              <w:rPr/>
            </w:pPr>
            <w:r w:rsidDel="00000000" w:rsidR="00000000" w:rsidRPr="00000000">
              <w:rPr>
                <w:rtl w:val="0"/>
              </w:rPr>
              <w:t xml:space="preserve">The participants will be in groups (according to the previous activities), and each group needs to review and evaluate the lesson plan (created in the previous activities) of another group using the THINKER_WP3_Peer Review Protocol for Learning Scenarios.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t xml:space="preserve">The trainer explains the steps of the activity and guides them during the activity.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jc w:val="both"/>
              <w:rPr/>
            </w:pPr>
            <w:r w:rsidDel="00000000" w:rsidR="00000000" w:rsidRPr="00000000">
              <w:rPr>
                <w:rtl w:val="0"/>
              </w:rPr>
              <w:t xml:space="preserve">At the end of the activity groups should provide relevant feedback to each other as for them to proceed by refining their lesson plans based on the peer review evaluation template (if needed).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jc w:val="both"/>
              <w:rPr/>
            </w:pPr>
            <w:r w:rsidDel="00000000" w:rsidR="00000000" w:rsidRPr="00000000">
              <w:rPr>
                <w:b w:val="1"/>
                <w:rtl w:val="0"/>
              </w:rPr>
              <w:t xml:space="preserve">Outcome</w:t>
            </w:r>
            <w:r w:rsidDel="00000000" w:rsidR="00000000" w:rsidRPr="00000000">
              <w:rPr>
                <w:rtl w:val="0"/>
              </w:rPr>
              <w:t xml:space="preserve">: Learners will go through the process of peer review. </w:t>
            </w:r>
          </w:p>
          <w:p w:rsidR="00000000" w:rsidDel="00000000" w:rsidP="00000000" w:rsidRDefault="00000000" w:rsidRPr="00000000" w14:paraId="00000077">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78">
            <w:pPr>
              <w:rPr/>
            </w:pPr>
            <w:r w:rsidDel="00000000" w:rsidR="00000000" w:rsidRPr="00000000">
              <w:rPr>
                <w:rtl w:val="0"/>
              </w:rPr>
              <w:t xml:space="preserve">Assessment </w:t>
            </w:r>
          </w:p>
        </w:tc>
        <w:tc>
          <w:tcPr/>
          <w:p w:rsidR="00000000" w:rsidDel="00000000" w:rsidP="00000000" w:rsidRDefault="00000000" w:rsidRPr="00000000" w14:paraId="00000079">
            <w:pPr>
              <w:jc w:val="both"/>
              <w:rPr/>
            </w:pPr>
            <w:r w:rsidDel="00000000" w:rsidR="00000000" w:rsidRPr="00000000">
              <w:rPr>
                <w:rtl w:val="0"/>
              </w:rPr>
              <w:t xml:space="preserve">Evaluating understanding through discussions, and feedback provided through the “peer review” protocol. </w:t>
              <w:br w:type="textWrapping"/>
            </w:r>
          </w:p>
        </w:tc>
      </w:tr>
    </w:tbl>
    <w:p w:rsidR="00000000" w:rsidDel="00000000" w:rsidP="00000000" w:rsidRDefault="00000000" w:rsidRPr="00000000" w14:paraId="0000007A">
      <w:pPr>
        <w:tabs>
          <w:tab w:val="left" w:leader="none" w:pos="1620"/>
        </w:tabs>
        <w:rPr/>
      </w:pPr>
      <w:r w:rsidDel="00000000" w:rsidR="00000000" w:rsidRPr="00000000">
        <w:rPr>
          <w:rtl w:val="0"/>
        </w:rPr>
      </w:r>
    </w:p>
    <w:p w:rsidR="00000000" w:rsidDel="00000000" w:rsidP="00000000" w:rsidRDefault="00000000" w:rsidRPr="00000000" w14:paraId="0000007B">
      <w:pPr>
        <w:tabs>
          <w:tab w:val="left" w:leader="none" w:pos="1620"/>
        </w:tabs>
        <w:rPr/>
      </w:pPr>
      <w:r w:rsidDel="00000000" w:rsidR="00000000" w:rsidRPr="00000000">
        <w:rPr>
          <w:rtl w:val="0"/>
        </w:rPr>
      </w:r>
    </w:p>
    <w:p w:rsidR="00000000" w:rsidDel="00000000" w:rsidP="00000000" w:rsidRDefault="00000000" w:rsidRPr="00000000" w14:paraId="0000007C">
      <w:pPr>
        <w:rPr>
          <w:i w:val="1"/>
        </w:rPr>
      </w:pPr>
      <w:r w:rsidDel="00000000" w:rsidR="00000000" w:rsidRPr="00000000">
        <w:rPr>
          <w:rtl w:val="0"/>
        </w:rPr>
      </w:r>
    </w:p>
    <w:sectPr>
      <w:headerReference r:id="rId13" w:type="default"/>
      <w:footerReference r:id="rId14"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76570" cy="8286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-645772</wp:posOffset>
          </wp:positionH>
          <wp:positionV relativeFrom="paragraph">
            <wp:posOffset>144780</wp:posOffset>
          </wp:positionV>
          <wp:extent cx="1311570" cy="506095"/>
          <wp:effectExtent b="0" l="0" r="0" t="0"/>
          <wp:wrapNone/>
          <wp:docPr id="159700710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tinker-project.eu/resources/framework-and-toolkit/" TargetMode="External"/><Relationship Id="rId10" Type="http://schemas.openxmlformats.org/officeDocument/2006/relationships/image" Target="media/image3.jpg"/><Relationship Id="rId13" Type="http://schemas.openxmlformats.org/officeDocument/2006/relationships/header" Target="header1.xml"/><Relationship Id="rId12" Type="http://schemas.openxmlformats.org/officeDocument/2006/relationships/hyperlink" Target="https://docs.google.com/document/d/1EBYchOExRfd4rayVbWsc-os4WO-f3Zpp/edit?usp=sharing&amp;ouid=110976805246476538365&amp;rtpof=true&amp;sd=tru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yq41RW5aN9LYqFzIztrgiGTiDA==">CgMxLjAyDmgud2YzdWc5anUwczNnOAByITFMT0JJYmFld0E5NEFKYVk2SWVMNGtsd2pIRmZrM1JobA==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