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-914386</wp:posOffset>
            </wp:positionV>
            <wp:extent cx="5732145" cy="4373880"/>
            <wp:effectExtent b="0" l="0" r="0" t="0"/>
            <wp:wrapNone/>
            <wp:docPr id="159700705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-514335</wp:posOffset>
            </wp:positionV>
            <wp:extent cx="3048000" cy="834853"/>
            <wp:effectExtent b="0" l="0" r="0" t="0"/>
            <wp:wrapNone/>
            <wp:docPr id="1597007052"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23740" cy="7658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81550" cy="10401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53"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5: Case study - Measuring the impact of authentic learning</w:t>
              <w:br w:type="textWrapping"/>
              <w:t xml:space="preserve">in the classroom</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5.3: Measuring the impact of authentic learning in the classroom</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30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gridSpan w:val="2"/>
          </w:tcPr>
          <w:p w:rsidR="00000000" w:rsidDel="00000000" w:rsidP="00000000" w:rsidRDefault="00000000" w:rsidRPr="00000000" w14:paraId="00000020">
            <w:pPr>
              <w:rPr>
                <w:b w:val="0"/>
              </w:rPr>
            </w:pPr>
            <w:r w:rsidDel="00000000" w:rsidR="00000000" w:rsidRPr="00000000">
              <w:rPr>
                <w:b w:val="0"/>
                <w:rtl w:val="0"/>
              </w:rPr>
              <w:t xml:space="preserve">After finishing this lesson, teachers will be able to:</w:t>
            </w:r>
          </w:p>
        </w:tc>
      </w:tr>
      <w:tr>
        <w:trPr>
          <w:cantSplit w:val="0"/>
          <w:trHeight w:val="580.6640625" w:hRule="atLeast"/>
          <w:tblHeader w:val="0"/>
        </w:trPr>
        <w:tc>
          <w:tcPr/>
          <w:p w:rsidR="00000000" w:rsidDel="00000000" w:rsidP="00000000" w:rsidRDefault="00000000" w:rsidRPr="00000000" w14:paraId="00000022">
            <w:pPr>
              <w:rPr/>
            </w:pPr>
            <w:r w:rsidDel="00000000" w:rsidR="00000000" w:rsidRPr="00000000">
              <w:rPr>
                <w:rtl w:val="0"/>
              </w:rPr>
              <w:t xml:space="preserve">1</w:t>
            </w:r>
          </w:p>
        </w:tc>
        <w:tc>
          <w:tcPr/>
          <w:p w:rsidR="00000000" w:rsidDel="00000000" w:rsidP="00000000" w:rsidRDefault="00000000" w:rsidRPr="00000000" w14:paraId="00000023">
            <w:pPr>
              <w:rPr/>
            </w:pPr>
            <w:r w:rsidDel="00000000" w:rsidR="00000000" w:rsidRPr="00000000">
              <w:rPr>
                <w:rtl w:val="0"/>
              </w:rPr>
              <w:t xml:space="preserve">Analyse case studies, based on the experience of reviewing two scenarios that highlight the impact of authentic learning on student outcomes</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rtl w:val="0"/>
              </w:rPr>
              <w:t xml:space="preserve">Develop a reflective critique on the application of authentic learning tasks, sharing examples of effective and ineffective practices with peers</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8">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rPr/>
            </w:pPr>
            <w:r w:rsidDel="00000000" w:rsidR="00000000" w:rsidRPr="00000000">
              <w:rPr>
                <w:rtl w:val="0"/>
              </w:rPr>
              <w:t xml:space="preserve">Learning by doing</w:t>
            </w:r>
          </w:p>
        </w:tc>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Blended learning</w:t>
            </w:r>
          </w:p>
        </w:tc>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r>
    </w:tbl>
    <w:p w:rsidR="00000000" w:rsidDel="00000000" w:rsidP="00000000" w:rsidRDefault="00000000" w:rsidRPr="00000000" w14:paraId="0000003D">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0">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1">
            <w:pPr>
              <w:numPr>
                <w:ilvl w:val="0"/>
                <w:numId w:val="4"/>
              </w:numPr>
              <w:ind w:left="720" w:hanging="360"/>
              <w:rPr/>
            </w:pPr>
            <w:r w:rsidDel="00000000" w:rsidR="00000000" w:rsidRPr="00000000">
              <w:rPr>
                <w:rtl w:val="0"/>
              </w:rPr>
              <w:t xml:space="preserve">Presentation slides</w:t>
            </w:r>
          </w:p>
          <w:p w:rsidR="00000000" w:rsidDel="00000000" w:rsidP="00000000" w:rsidRDefault="00000000" w:rsidRPr="00000000" w14:paraId="00000042">
            <w:pPr>
              <w:numPr>
                <w:ilvl w:val="0"/>
                <w:numId w:val="4"/>
              </w:numPr>
              <w:ind w:left="720" w:hanging="360"/>
              <w:rPr>
                <w:u w:val="none"/>
              </w:rPr>
            </w:pPr>
            <w:hyperlink r:id="rId11">
              <w:r w:rsidDel="00000000" w:rsidR="00000000" w:rsidRPr="00000000">
                <w:rPr>
                  <w:color w:val="1155cc"/>
                  <w:u w:val="single"/>
                  <w:rtl w:val="0"/>
                </w:rPr>
                <w:t xml:space="preserve">Scenario A template</w:t>
              </w:r>
            </w:hyperlink>
            <w:r w:rsidDel="00000000" w:rsidR="00000000" w:rsidRPr="00000000">
              <w:rPr>
                <w:rtl w:val="0"/>
              </w:rPr>
            </w:r>
          </w:p>
          <w:p w:rsidR="00000000" w:rsidDel="00000000" w:rsidP="00000000" w:rsidRDefault="00000000" w:rsidRPr="00000000" w14:paraId="00000043">
            <w:pPr>
              <w:numPr>
                <w:ilvl w:val="0"/>
                <w:numId w:val="4"/>
              </w:numPr>
              <w:ind w:left="720" w:hanging="360"/>
              <w:rPr>
                <w:u w:val="none"/>
              </w:rPr>
            </w:pPr>
            <w:hyperlink r:id="rId12">
              <w:r w:rsidDel="00000000" w:rsidR="00000000" w:rsidRPr="00000000">
                <w:rPr>
                  <w:color w:val="1155cc"/>
                  <w:u w:val="single"/>
                  <w:rtl w:val="0"/>
                </w:rPr>
                <w:t xml:space="preserve">Scenario B template</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4">
            <w:pPr>
              <w:rPr/>
            </w:pPr>
            <w:r w:rsidDel="00000000" w:rsidR="00000000" w:rsidRPr="00000000">
              <w:rPr>
                <w:rtl w:val="0"/>
              </w:rPr>
              <w:t xml:space="preserve">Additional resources</w:t>
            </w:r>
          </w:p>
        </w:tc>
        <w:tc>
          <w:tcPr/>
          <w:p w:rsidR="00000000" w:rsidDel="00000000" w:rsidP="00000000" w:rsidRDefault="00000000" w:rsidRPr="00000000" w14:paraId="00000045">
            <w:pPr>
              <w:rPr/>
            </w:pPr>
            <w:r w:rsidDel="00000000" w:rsidR="00000000" w:rsidRPr="00000000">
              <w:rPr>
                <w:rtl w:val="0"/>
              </w:rPr>
              <w:t xml:space="preserve">/</w:t>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Authentic learning — which connects students to real-world challenges, diverse perspectives, and inclusive collaboration — is a core part of the THINKER framework. This session explores and </w:t>
            </w:r>
            <w:r w:rsidDel="00000000" w:rsidR="00000000" w:rsidRPr="00000000">
              <w:rPr>
                <w:b w:val="1"/>
                <w:rtl w:val="0"/>
              </w:rPr>
              <w:t xml:space="preserve">analyzes two classroom scenarios</w:t>
            </w:r>
            <w:r w:rsidDel="00000000" w:rsidR="00000000" w:rsidRPr="00000000">
              <w:rPr>
                <w:rtl w:val="0"/>
              </w:rPr>
              <w:t xml:space="preserve">. Through discussion, reflection, and critique, those scenarios aim to illustrate makes authentic learning powerful and what can undermine its impact.</w:t>
            </w:r>
          </w:p>
          <w:p w:rsidR="00000000" w:rsidDel="00000000" w:rsidP="00000000" w:rsidRDefault="00000000" w:rsidRPr="00000000" w14:paraId="0000004B">
            <w:pPr>
              <w:spacing w:after="240" w:before="240" w:lineRule="auto"/>
              <w:rPr/>
            </w:pPr>
            <w:r w:rsidDel="00000000" w:rsidR="00000000" w:rsidRPr="00000000">
              <w:rPr>
                <w:rtl w:val="0"/>
              </w:rPr>
              <w:t xml:space="preserve">You’ll also be introduced to </w:t>
            </w:r>
            <w:r w:rsidDel="00000000" w:rsidR="00000000" w:rsidRPr="00000000">
              <w:rPr>
                <w:b w:val="1"/>
                <w:rtl w:val="0"/>
              </w:rPr>
              <w:t xml:space="preserve">quantitative and qualitative tools</w:t>
            </w:r>
            <w:r w:rsidDel="00000000" w:rsidR="00000000" w:rsidRPr="00000000">
              <w:rPr>
                <w:rtl w:val="0"/>
              </w:rPr>
              <w:t xml:space="preserve"> that help capture student engagement more effectively — beyond just grades or participation counts. These tools will help you see </w:t>
            </w:r>
            <w:r w:rsidDel="00000000" w:rsidR="00000000" w:rsidRPr="00000000">
              <w:rPr>
                <w:b w:val="1"/>
                <w:rtl w:val="0"/>
              </w:rPr>
              <w:t xml:space="preserve">how students are thinking and feeling </w:t>
            </w:r>
            <w:r w:rsidDel="00000000" w:rsidR="00000000" w:rsidRPr="00000000">
              <w:rPr>
                <w:rtl w:val="0"/>
              </w:rPr>
              <w:t xml:space="preserve">throughout the learning process.</w:t>
            </w:r>
          </w:p>
          <w:p w:rsidR="00000000" w:rsidDel="00000000" w:rsidP="00000000" w:rsidRDefault="00000000" w:rsidRPr="00000000" w14:paraId="0000004C">
            <w:pPr>
              <w:spacing w:after="240" w:before="240" w:lineRule="auto"/>
              <w:rPr/>
            </w:pPr>
            <w:r w:rsidDel="00000000" w:rsidR="00000000" w:rsidRPr="00000000">
              <w:rPr>
                <w:rtl w:val="0"/>
              </w:rPr>
              <w:t xml:space="preserve">This builds directly on your previous work with </w:t>
            </w:r>
            <w:r w:rsidDel="00000000" w:rsidR="00000000" w:rsidRPr="00000000">
              <w:rPr>
                <w:b w:val="1"/>
                <w:rtl w:val="0"/>
              </w:rPr>
              <w:t xml:space="preserve">self-assessment and teaching evaluation tools</w:t>
            </w:r>
            <w:r w:rsidDel="00000000" w:rsidR="00000000" w:rsidRPr="00000000">
              <w:rPr>
                <w:rtl w:val="0"/>
              </w:rPr>
              <w:t xml:space="preserve">. </w:t>
            </w:r>
          </w:p>
        </w:tc>
      </w:tr>
      <w:tr>
        <w:trPr>
          <w:cantSplit w:val="0"/>
          <w:trHeight w:val="417" w:hRule="atLeast"/>
          <w:tblHeader w:val="0"/>
        </w:trPr>
        <w:tc>
          <w:tcPr>
            <w:vMerge w:val="restart"/>
          </w:tcPr>
          <w:p w:rsidR="00000000" w:rsidDel="00000000" w:rsidP="00000000" w:rsidRDefault="00000000" w:rsidRPr="00000000" w14:paraId="0000004D">
            <w:pPr>
              <w:rPr/>
            </w:pPr>
            <w:r w:rsidDel="00000000" w:rsidR="00000000" w:rsidRPr="00000000">
              <w:rPr>
                <w:rtl w:val="0"/>
              </w:rPr>
              <w:t xml:space="preserve">Activities</w:t>
            </w:r>
          </w:p>
          <w:p w:rsidR="00000000" w:rsidDel="00000000" w:rsidP="00000000" w:rsidRDefault="00000000" w:rsidRPr="00000000" w14:paraId="0000004E">
            <w:pPr>
              <w:rPr/>
            </w:pPr>
            <w:r w:rsidDel="00000000" w:rsidR="00000000" w:rsidRPr="00000000">
              <w:rPr>
                <w:rtl w:val="0"/>
              </w:rPr>
            </w:r>
          </w:p>
        </w:tc>
        <w:tc>
          <w:tcPr>
            <w:vMerge w:val="restart"/>
          </w:tcPr>
          <w:p w:rsidR="00000000" w:rsidDel="00000000" w:rsidP="00000000" w:rsidRDefault="00000000" w:rsidRPr="00000000" w14:paraId="0000004F">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(2 minutes)</w:t>
            </w:r>
          </w:p>
          <w:p w:rsidR="00000000" w:rsidDel="00000000" w:rsidP="00000000" w:rsidRDefault="00000000" w:rsidRPr="00000000" w14:paraId="00000050">
            <w:pPr>
              <w:numPr>
                <w:ilvl w:val="0"/>
                <w:numId w:val="2"/>
              </w:numPr>
              <w:spacing w:after="0" w:before="240" w:lineRule="auto"/>
              <w:ind w:left="720" w:hanging="360"/>
              <w:rPr/>
            </w:pPr>
            <w:r w:rsidDel="00000000" w:rsidR="00000000" w:rsidRPr="00000000">
              <w:rPr>
                <w:rtl w:val="0"/>
              </w:rPr>
              <w:t xml:space="preserve">Greet participants and set context: “This lesson focuses on how to evaluate the </w:t>
            </w:r>
            <w:r w:rsidDel="00000000" w:rsidR="00000000" w:rsidRPr="00000000">
              <w:rPr>
                <w:b w:val="1"/>
                <w:rtl w:val="0"/>
              </w:rPr>
              <w:t xml:space="preserve">impact of authentic learning</w:t>
            </w:r>
            <w:r w:rsidDel="00000000" w:rsidR="00000000" w:rsidRPr="00000000">
              <w:rPr>
                <w:rtl w:val="0"/>
              </w:rPr>
              <w:t xml:space="preserve"> in the classroom, particularly in terms of </w:t>
            </w:r>
            <w:r w:rsidDel="00000000" w:rsidR="00000000" w:rsidRPr="00000000">
              <w:rPr>
                <w:b w:val="1"/>
                <w:rtl w:val="0"/>
              </w:rPr>
              <w:t xml:space="preserve">student engagement and learning outcomes</w:t>
            </w:r>
            <w:r w:rsidDel="00000000" w:rsidR="00000000" w:rsidRPr="00000000">
              <w:rPr>
                <w:rtl w:val="0"/>
              </w:rPr>
              <w:t xml:space="preserve"> by analysing two scenarios.“</w:t>
            </w:r>
          </w:p>
          <w:p w:rsidR="00000000" w:rsidDel="00000000" w:rsidP="00000000" w:rsidRDefault="00000000" w:rsidRPr="00000000" w14:paraId="00000051">
            <w:pPr>
              <w:numPr>
                <w:ilvl w:val="0"/>
                <w:numId w:val="2"/>
              </w:numPr>
              <w:spacing w:after="240" w:before="0" w:lineRule="auto"/>
              <w:ind w:left="720" w:hanging="360"/>
              <w:rPr/>
            </w:pPr>
            <w:r w:rsidDel="00000000" w:rsidR="00000000" w:rsidRPr="00000000">
              <w:rPr>
                <w:rtl w:val="0"/>
              </w:rPr>
              <w:t xml:space="preserve">Quick warm-up question: “Think of a recent lesson where students seemed really engaged — how did you know they were engaged? What did you see, hear, or feel?” Collect 2–3 answers.</w:t>
            </w:r>
          </w:p>
        </w:tc>
      </w:tr>
      <w:tr>
        <w:trPr>
          <w:cantSplit w:val="0"/>
          <w:trHeight w:val="417" w:hRule="atLeast"/>
          <w:tblHeader w:val="0"/>
        </w:trPr>
        <w:tc>
          <w:tcPr>
            <w:vMerge w:val="continue"/>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rPr>
            </w:pPr>
            <w:bookmarkStart w:colFirst="0" w:colLast="0" w:name="_heading=h.vpqn7ezgbcxz" w:id="1"/>
            <w:bookmarkEnd w:id="1"/>
            <w:r w:rsidDel="00000000" w:rsidR="00000000" w:rsidRPr="00000000">
              <w:rPr>
                <w:b w:val="1"/>
                <w:i w:val="0"/>
                <w:sz w:val="26"/>
                <w:szCs w:val="26"/>
                <w:u w:val="single"/>
                <w:rtl w:val="0"/>
              </w:rPr>
              <w:t xml:space="preserve">2. Group activity - scenario exercise (25 minutes)</w:t>
            </w:r>
            <w:r w:rsidDel="00000000" w:rsidR="00000000" w:rsidRPr="00000000">
              <w:rPr>
                <w:rtl w:val="0"/>
              </w:rPr>
            </w:r>
          </w:p>
          <w:p w:rsidR="00000000" w:rsidDel="00000000" w:rsidP="00000000" w:rsidRDefault="00000000" w:rsidRPr="00000000" w14:paraId="00000058">
            <w:pPr>
              <w:numPr>
                <w:ilvl w:val="0"/>
                <w:numId w:val="3"/>
              </w:numPr>
              <w:spacing w:after="240" w:before="240" w:lineRule="auto"/>
              <w:ind w:left="720" w:hanging="360"/>
              <w:rPr>
                <w:b w:val="0"/>
                <w:i w:val="0"/>
                <w:sz w:val="22"/>
                <w:szCs w:val="22"/>
              </w:rPr>
            </w:pPr>
            <w:r w:rsidDel="00000000" w:rsidR="00000000" w:rsidRPr="00000000">
              <w:rPr>
                <w:rtl w:val="0"/>
              </w:rPr>
              <w:t xml:space="preserve">Distribute </w:t>
            </w:r>
            <w:hyperlink r:id="rId13">
              <w:r w:rsidDel="00000000" w:rsidR="00000000" w:rsidRPr="00000000">
                <w:rPr>
                  <w:b w:val="1"/>
                  <w:color w:val="1155cc"/>
                  <w:u w:val="single"/>
                  <w:rtl w:val="0"/>
                </w:rPr>
                <w:t xml:space="preserve">Scenario A</w:t>
              </w:r>
            </w:hyperlink>
            <w:r w:rsidDel="00000000" w:rsidR="00000000" w:rsidRPr="00000000">
              <w:rPr>
                <w:rtl w:val="0"/>
              </w:rPr>
              <w:t xml:space="preserve"> and </w:t>
            </w:r>
            <w:hyperlink r:id="rId14">
              <w:r w:rsidDel="00000000" w:rsidR="00000000" w:rsidRPr="00000000">
                <w:rPr>
                  <w:b w:val="1"/>
                  <w:color w:val="1155cc"/>
                  <w:u w:val="single"/>
                  <w:rtl w:val="0"/>
                </w:rPr>
                <w:t xml:space="preserve">Scenario B</w:t>
              </w:r>
            </w:hyperlink>
            <w:hyperlink r:id="rId15">
              <w:r w:rsidDel="00000000" w:rsidR="00000000" w:rsidRPr="00000000">
                <w:rPr>
                  <w:color w:val="1155cc"/>
                  <w:u w:val="single"/>
                  <w:rtl w:val="0"/>
                </w:rPr>
                <w:t xml:space="preserve"> </w:t>
              </w:r>
            </w:hyperlink>
            <w:r w:rsidDel="00000000" w:rsidR="00000000" w:rsidRPr="00000000">
              <w:rPr>
                <w:rtl w:val="0"/>
              </w:rPr>
              <w:t xml:space="preserve">handouts to small groups (2-3 participants). Each group works first on scenario A, then groups share their findings, then scenario B.</w:t>
            </w:r>
            <w:r w:rsidDel="00000000" w:rsidR="00000000" w:rsidRPr="00000000">
              <w:rPr>
                <w:rtl w:val="0"/>
              </w:rPr>
            </w:r>
          </w:p>
          <w:p w:rsidR="00000000" w:rsidDel="00000000" w:rsidP="00000000" w:rsidRDefault="00000000" w:rsidRPr="00000000" w14:paraId="00000059">
            <w:pPr>
              <w:numPr>
                <w:ilvl w:val="1"/>
                <w:numId w:val="3"/>
              </w:numPr>
              <w:spacing w:after="0" w:before="240" w:lineRule="auto"/>
              <w:ind w:left="1440" w:hanging="360"/>
              <w:rPr>
                <w:b w:val="0"/>
                <w:i w:val="0"/>
                <w:sz w:val="22"/>
                <w:szCs w:val="22"/>
              </w:rPr>
            </w:pPr>
            <w:r w:rsidDel="00000000" w:rsidR="00000000" w:rsidRPr="00000000">
              <w:rPr>
                <w:rtl w:val="0"/>
              </w:rPr>
              <w:t xml:space="preserve">Identify at least</w:t>
            </w:r>
            <w:r w:rsidDel="00000000" w:rsidR="00000000" w:rsidRPr="00000000">
              <w:rPr>
                <w:b w:val="1"/>
                <w:rtl w:val="0"/>
              </w:rPr>
              <w:t xml:space="preserve"> 4 missed opportunities or challenges </w:t>
            </w:r>
            <w:r w:rsidDel="00000000" w:rsidR="00000000" w:rsidRPr="00000000">
              <w:rPr>
                <w:rtl w:val="0"/>
              </w:rPr>
              <w:t xml:space="preserve">that limited student learning, inclusion, or authentic engagement.</w:t>
            </w:r>
            <w:r w:rsidDel="00000000" w:rsidR="00000000" w:rsidRPr="00000000">
              <w:rPr>
                <w:rtl w:val="0"/>
              </w:rPr>
            </w:r>
          </w:p>
          <w:p w:rsidR="00000000" w:rsidDel="00000000" w:rsidP="00000000" w:rsidRDefault="00000000" w:rsidRPr="00000000" w14:paraId="0000005A">
            <w:pPr>
              <w:numPr>
                <w:ilvl w:val="1"/>
                <w:numId w:val="3"/>
              </w:numPr>
              <w:spacing w:after="0" w:before="0" w:lineRule="auto"/>
              <w:ind w:left="1440" w:hanging="360"/>
              <w:rPr>
                <w:b w:val="0"/>
                <w:i w:val="0"/>
                <w:sz w:val="22"/>
                <w:szCs w:val="22"/>
              </w:rPr>
            </w:pPr>
            <w:r w:rsidDel="00000000" w:rsidR="00000000" w:rsidRPr="00000000">
              <w:rPr>
                <w:b w:val="1"/>
                <w:rtl w:val="0"/>
              </w:rPr>
              <w:t xml:space="preserve">Connect each </w:t>
            </w:r>
            <w:r w:rsidDel="00000000" w:rsidR="00000000" w:rsidRPr="00000000">
              <w:rPr>
                <w:rtl w:val="0"/>
              </w:rPr>
              <w:t xml:space="preserve">issue to </w:t>
            </w:r>
            <w:r w:rsidDel="00000000" w:rsidR="00000000" w:rsidRPr="00000000">
              <w:rPr>
                <w:b w:val="1"/>
                <w:rtl w:val="0"/>
              </w:rPr>
              <w:t xml:space="preserve">a principle of authentic learning or gender-inclusive teaching </w:t>
            </w:r>
            <w:r w:rsidDel="00000000" w:rsidR="00000000" w:rsidRPr="00000000">
              <w:rPr>
                <w:rtl w:val="0"/>
              </w:rPr>
              <w:t xml:space="preserve">from the THINKER Framework.</w:t>
            </w:r>
            <w:r w:rsidDel="00000000" w:rsidR="00000000" w:rsidRPr="00000000">
              <w:rPr>
                <w:rtl w:val="0"/>
              </w:rPr>
            </w:r>
          </w:p>
          <w:p w:rsidR="00000000" w:rsidDel="00000000" w:rsidP="00000000" w:rsidRDefault="00000000" w:rsidRPr="00000000" w14:paraId="0000005B">
            <w:pPr>
              <w:numPr>
                <w:ilvl w:val="1"/>
                <w:numId w:val="3"/>
              </w:numPr>
              <w:spacing w:after="0" w:before="0" w:lineRule="auto"/>
              <w:ind w:left="1440" w:hanging="360"/>
              <w:rPr>
                <w:b w:val="0"/>
                <w:i w:val="0"/>
                <w:sz w:val="22"/>
                <w:szCs w:val="22"/>
              </w:rPr>
            </w:pPr>
            <w:r w:rsidDel="00000000" w:rsidR="00000000" w:rsidRPr="00000000">
              <w:rPr>
                <w:rtl w:val="0"/>
              </w:rPr>
              <w:t xml:space="preserve">Propose at least </w:t>
            </w:r>
            <w:r w:rsidDel="00000000" w:rsidR="00000000" w:rsidRPr="00000000">
              <w:rPr>
                <w:b w:val="1"/>
                <w:rtl w:val="0"/>
              </w:rPr>
              <w:t xml:space="preserve">3 strategies</w:t>
            </w:r>
            <w:r w:rsidDel="00000000" w:rsidR="00000000" w:rsidRPr="00000000">
              <w:rPr>
                <w:rtl w:val="0"/>
              </w:rPr>
              <w:t xml:space="preserve"> that would </w:t>
            </w:r>
            <w:r w:rsidDel="00000000" w:rsidR="00000000" w:rsidRPr="00000000">
              <w:rPr>
                <w:b w:val="1"/>
                <w:rtl w:val="0"/>
              </w:rPr>
              <w:t xml:space="preserve">strengthen this lesson </w:t>
            </w:r>
            <w:r w:rsidDel="00000000" w:rsidR="00000000" w:rsidRPr="00000000">
              <w:rPr>
                <w:rtl w:val="0"/>
              </w:rPr>
              <w:t xml:space="preserve">using the THINKER framework (e.g., real-world connection, student voice, scaffolding, feedback tools).</w:t>
            </w:r>
            <w:r w:rsidDel="00000000" w:rsidR="00000000" w:rsidRPr="00000000">
              <w:rPr>
                <w:rtl w:val="0"/>
              </w:rPr>
            </w:r>
          </w:p>
          <w:p w:rsidR="00000000" w:rsidDel="00000000" w:rsidP="00000000" w:rsidRDefault="00000000" w:rsidRPr="00000000" w14:paraId="0000005C">
            <w:pPr>
              <w:numPr>
                <w:ilvl w:val="1"/>
                <w:numId w:val="3"/>
              </w:numPr>
              <w:spacing w:after="240" w:before="0" w:lineRule="auto"/>
              <w:ind w:left="1440" w:hanging="360"/>
              <w:rPr>
                <w:b w:val="0"/>
                <w:i w:val="0"/>
                <w:sz w:val="22"/>
                <w:szCs w:val="22"/>
              </w:rPr>
            </w:pPr>
            <w:r w:rsidDel="00000000" w:rsidR="00000000" w:rsidRPr="00000000">
              <w:rPr>
                <w:rtl w:val="0"/>
              </w:rPr>
              <w:t xml:space="preserve">How could you have </w:t>
            </w:r>
            <w:r w:rsidDel="00000000" w:rsidR="00000000" w:rsidRPr="00000000">
              <w:rPr>
                <w:b w:val="1"/>
                <w:rtl w:val="0"/>
              </w:rPr>
              <w:t xml:space="preserve">measured </w:t>
            </w:r>
            <w:r w:rsidDel="00000000" w:rsidR="00000000" w:rsidRPr="00000000">
              <w:rPr>
                <w:rtl w:val="0"/>
              </w:rPr>
              <w:t xml:space="preserve">whether </w:t>
            </w:r>
            <w:r w:rsidDel="00000000" w:rsidR="00000000" w:rsidRPr="00000000">
              <w:rPr>
                <w:b w:val="1"/>
                <w:rtl w:val="0"/>
              </w:rPr>
              <w:t xml:space="preserve">students were engaged </w:t>
            </w:r>
            <w:r w:rsidDel="00000000" w:rsidR="00000000" w:rsidRPr="00000000">
              <w:rPr>
                <w:rtl w:val="0"/>
              </w:rPr>
              <w:t xml:space="preserve">during this task?</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dlqbzenq38a8" w:id="2"/>
            <w:bookmarkEnd w:id="2"/>
            <w:r w:rsidDel="00000000" w:rsidR="00000000" w:rsidRPr="00000000">
              <w:rPr>
                <w:i w:val="0"/>
                <w:u w:val="single"/>
                <w:rtl w:val="0"/>
              </w:rPr>
              <w:t xml:space="preserve">3</w:t>
            </w:r>
            <w:r w:rsidDel="00000000" w:rsidR="00000000" w:rsidRPr="00000000">
              <w:rPr>
                <w:b w:val="1"/>
                <w:i w:val="0"/>
                <w:sz w:val="26"/>
                <w:szCs w:val="26"/>
                <w:u w:val="single"/>
                <w:rtl w:val="0"/>
              </w:rPr>
              <w:t xml:space="preserve">. Reflection and conclusion (3 minutes)</w:t>
            </w:r>
          </w:p>
          <w:p w:rsidR="00000000" w:rsidDel="00000000" w:rsidP="00000000" w:rsidRDefault="00000000" w:rsidRPr="00000000" w14:paraId="0000005F">
            <w:pPr>
              <w:numPr>
                <w:ilvl w:val="0"/>
                <w:numId w:val="3"/>
              </w:numPr>
              <w:spacing w:after="240" w:before="240" w:lineRule="auto"/>
              <w:ind w:left="720" w:hanging="360"/>
              <w:rPr>
                <w:b w:val="0"/>
                <w:i w:val="0"/>
                <w:sz w:val="22"/>
                <w:szCs w:val="22"/>
              </w:rPr>
            </w:pPr>
            <w:r w:rsidDel="00000000" w:rsidR="00000000" w:rsidRPr="00000000">
              <w:rPr>
                <w:rtl w:val="0"/>
              </w:rPr>
              <w:t xml:space="preserve">Prompt</w:t>
            </w:r>
            <w:r w:rsidDel="00000000" w:rsidR="00000000" w:rsidRPr="00000000">
              <w:rPr>
                <w:b w:val="1"/>
                <w:rtl w:val="0"/>
              </w:rPr>
              <w:t xml:space="preserve"> whole-group reflection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0">
            <w:pPr>
              <w:numPr>
                <w:ilvl w:val="1"/>
                <w:numId w:val="3"/>
              </w:numPr>
              <w:spacing w:after="240" w:before="240" w:lineRule="auto"/>
              <w:ind w:left="1440" w:hanging="360"/>
              <w:rPr>
                <w:b w:val="0"/>
                <w:i w:val="0"/>
                <w:sz w:val="22"/>
                <w:szCs w:val="22"/>
              </w:rPr>
            </w:pPr>
            <w:r w:rsidDel="00000000" w:rsidR="00000000" w:rsidRPr="00000000">
              <w:rPr>
                <w:rtl w:val="0"/>
              </w:rPr>
              <w:t xml:space="preserve">“What was your biggest takeaway from comparing the two scenarios?”</w:t>
            </w:r>
            <w:r w:rsidDel="00000000" w:rsidR="00000000" w:rsidRPr="00000000">
              <w:rPr>
                <w:rtl w:val="0"/>
              </w:rPr>
            </w:r>
          </w:p>
          <w:p w:rsidR="00000000" w:rsidDel="00000000" w:rsidP="00000000" w:rsidRDefault="00000000" w:rsidRPr="00000000" w14:paraId="00000061">
            <w:pPr>
              <w:numPr>
                <w:ilvl w:val="1"/>
                <w:numId w:val="3"/>
              </w:numPr>
              <w:spacing w:after="240" w:before="240" w:lineRule="auto"/>
              <w:ind w:left="1440" w:hanging="360"/>
              <w:rPr>
                <w:b w:val="0"/>
                <w:i w:val="0"/>
                <w:sz w:val="22"/>
                <w:szCs w:val="22"/>
              </w:rPr>
            </w:pPr>
            <w:r w:rsidDel="00000000" w:rsidR="00000000" w:rsidRPr="00000000">
              <w:rPr>
                <w:rtl w:val="0"/>
              </w:rPr>
              <w:t xml:space="preserve">“What tool or strategy from today’s session would you like to try in your own teaching?”</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2">
            <w:pPr>
              <w:rPr/>
            </w:pPr>
            <w:r w:rsidDel="00000000" w:rsidR="00000000" w:rsidRPr="00000000">
              <w:rPr>
                <w:rtl w:val="0"/>
              </w:rPr>
              <w:t xml:space="preserve">Assessment </w:t>
            </w:r>
          </w:p>
        </w:tc>
        <w:tc>
          <w:tcPr/>
          <w:p w:rsidR="00000000" w:rsidDel="00000000" w:rsidP="00000000" w:rsidRDefault="00000000" w:rsidRPr="00000000" w14:paraId="00000063">
            <w:pPr>
              <w:pStyle w:val="Heading3"/>
              <w:spacing w:after="80" w:before="280" w:lineRule="auto"/>
              <w:rPr>
                <w:i w:val="0"/>
                <w:sz w:val="24"/>
                <w:szCs w:val="24"/>
              </w:rPr>
            </w:pPr>
            <w:bookmarkStart w:colFirst="0" w:colLast="0" w:name="_heading=h.mnj8qu4ovgx6" w:id="3"/>
            <w:bookmarkEnd w:id="3"/>
            <w:r w:rsidDel="00000000" w:rsidR="00000000" w:rsidRPr="00000000">
              <w:rPr>
                <w:i w:val="0"/>
                <w:sz w:val="24"/>
                <w:szCs w:val="24"/>
                <w:rtl w:val="0"/>
              </w:rPr>
              <w:t xml:space="preserve">Formative Assessment (During the Lesson)</w:t>
            </w:r>
          </w:p>
          <w:p w:rsidR="00000000" w:rsidDel="00000000" w:rsidP="00000000" w:rsidRDefault="00000000" w:rsidRPr="00000000" w14:paraId="00000064">
            <w:pPr>
              <w:numPr>
                <w:ilvl w:val="0"/>
                <w:numId w:val="1"/>
              </w:numPr>
              <w:ind w:left="720" w:hanging="360"/>
              <w:rPr>
                <w:u w:val="none"/>
              </w:rPr>
            </w:pPr>
            <w:r w:rsidDel="00000000" w:rsidR="00000000" w:rsidRPr="00000000">
              <w:rPr>
                <w:rtl w:val="0"/>
              </w:rPr>
              <w:t xml:space="preserve">The whole lesson is formed as a practical assessment of the content of the previous two lessons. Teachers are encouraged to critically anaylze and share their opinions on how to improve Scenario A  and Scenario B - based on their knowledge acquired through the previous lessons or through their teaching experience.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tc>
      </w:tr>
    </w:tbl>
    <w:p w:rsidR="00000000" w:rsidDel="00000000" w:rsidP="00000000" w:rsidRDefault="00000000" w:rsidRPr="00000000" w14:paraId="00000066">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7">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9">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This lesson is purely practical and focused on two examples of Informatics lessons not fully utilizing the potential of authentic and inclusive learning. The scenarios present opportunities to recognize and apply concepts introduced in this module and its lessons. They are also designed to encourage teachers to consider using the tools described in previous lessons in their own teaching.</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B">
            <w:pPr>
              <w:rPr/>
            </w:pPr>
            <w:r w:rsidDel="00000000" w:rsidR="00000000" w:rsidRPr="00000000">
              <w:rPr>
                <w:rtl w:val="0"/>
              </w:rPr>
              <w:t xml:space="preserve">Homework/ Additional Tasks</w:t>
            </w:r>
          </w:p>
        </w:tc>
        <w:tc>
          <w:tcPr/>
          <w:p w:rsidR="00000000" w:rsidDel="00000000" w:rsidP="00000000" w:rsidRDefault="00000000" w:rsidRPr="00000000" w14:paraId="0000006C">
            <w:pPr>
              <w:rPr/>
            </w:pPr>
            <w:r w:rsidDel="00000000" w:rsidR="00000000" w:rsidRPr="00000000">
              <w:rPr>
                <w:rtl w:val="0"/>
              </w:rPr>
              <w:t xml:space="preserve">/</w:t>
            </w:r>
          </w:p>
        </w:tc>
      </w:tr>
    </w:tbl>
    <w:p w:rsidR="00000000" w:rsidDel="00000000" w:rsidP="00000000" w:rsidRDefault="00000000" w:rsidRPr="00000000" w14:paraId="0000006D">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00370" cy="752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-645781</wp:posOffset>
          </wp:positionH>
          <wp:positionV relativeFrom="paragraph">
            <wp:posOffset>144780</wp:posOffset>
          </wp:positionV>
          <wp:extent cx="1311570" cy="506095"/>
          <wp:effectExtent b="0" l="0" r="0" t="0"/>
          <wp:wrapNone/>
          <wp:docPr id="159700705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zBVu5gbsENBiBTcoMZF4iUhrol6n9kW6/edit?usp=drive_link&amp;ouid=110976805246476538365&amp;rtpof=true&amp;sd=true" TargetMode="External"/><Relationship Id="rId10" Type="http://schemas.openxmlformats.org/officeDocument/2006/relationships/image" Target="media/image2.jpg"/><Relationship Id="rId13" Type="http://schemas.openxmlformats.org/officeDocument/2006/relationships/hyperlink" Target="https://docs.google.com/document/d/1zBVu5gbsENBiBTcoMZF4iUhrol6n9kW6/edit?usp=drive_link&amp;ouid=110976805246476538365&amp;rtpof=true&amp;sd=true" TargetMode="External"/><Relationship Id="rId12" Type="http://schemas.openxmlformats.org/officeDocument/2006/relationships/hyperlink" Target="https://docs.google.com/document/d/1ucgu0v0B177CtQ7mVVM3rBx9CT7UU6eK/edit?usp=drive_link&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docs.google.com/document/d/1ucgu0v0B177CtQ7mVVM3rBx9CT7UU6eK/edit?usp=drive_link&amp;ouid=110976805246476538365&amp;rtpof=true&amp;sd=true" TargetMode="External"/><Relationship Id="rId14" Type="http://schemas.openxmlformats.org/officeDocument/2006/relationships/hyperlink" Target="https://docs.google.com/document/d/1ucgu0v0B177CtQ7mVVM3rBx9CT7UU6eK/edit?usp=drive_link&amp;ouid=110976805246476538365&amp;rtpof=true&amp;sd=true"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DqoYo27DgSab6yEhI4DPv/XRw==">CgMxLjAyDmgud2YzdWc5anUwczNnMg5oLnZwcW43ZXpnYmN4ejIOaC5kbHFiemVucTM4YTgyDmgubW5qOHF1NG92Z3g2OAByITFxSWNoQThvbm8wRUx0Y1d3NGhGbjNrMThYQWk3XzdPYQ==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